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E5" w:rsidRDefault="000D51E5" w:rsidP="000D51E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3"/>
          <w:szCs w:val="23"/>
          <w:lang w:eastAsia="sk-SK"/>
        </w:rPr>
      </w:pPr>
    </w:p>
    <w:p w:rsidR="000D51E5" w:rsidRPr="00AE78B1" w:rsidRDefault="007E56B9" w:rsidP="000D51E5">
      <w:p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bCs/>
          <w:color w:val="202122"/>
          <w:sz w:val="20"/>
          <w:szCs w:val="20"/>
          <w:lang w:eastAsia="sk-SK"/>
        </w:rPr>
      </w:pPr>
      <w:r>
        <w:rPr>
          <w:rFonts w:ascii="Courier New" w:eastAsia="Times New Roman" w:hAnsi="Courier New" w:cs="Courier New"/>
          <w:bCs/>
          <w:color w:val="202122"/>
          <w:sz w:val="20"/>
          <w:szCs w:val="20"/>
          <w:lang w:eastAsia="sk-SK"/>
        </w:rPr>
        <w:t>Vážené kolegyne a kolegovia</w:t>
      </w:r>
      <w:r w:rsidR="000D51E5" w:rsidRPr="00AE78B1">
        <w:rPr>
          <w:rFonts w:ascii="Courier New" w:eastAsia="Times New Roman" w:hAnsi="Courier New" w:cs="Courier New"/>
          <w:bCs/>
          <w:color w:val="202122"/>
          <w:sz w:val="20"/>
          <w:szCs w:val="20"/>
          <w:lang w:eastAsia="sk-SK"/>
        </w:rPr>
        <w:t>,</w:t>
      </w:r>
    </w:p>
    <w:p w:rsidR="000D51E5" w:rsidRPr="002F55EA" w:rsidRDefault="007E56B9" w:rsidP="000D51E5">
      <w:p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</w:pPr>
      <w:r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na žiadosť našich členov Vám predkladáme </w:t>
      </w:r>
      <w:r w:rsidR="000836E6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argumenty</w:t>
      </w:r>
      <w:r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</w:t>
      </w:r>
      <w:r w:rsidR="000836E6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pre</w:t>
      </w:r>
      <w:r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</w:t>
      </w:r>
      <w:r w:rsidR="000836E6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</w:t>
      </w:r>
      <w:r w:rsidR="000D51E5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stanovisk</w:t>
      </w:r>
      <w:r w:rsidR="000836E6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o</w:t>
      </w:r>
      <w:r w:rsidR="000D51E5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 k zamestnancom, ktorí nesúhlasia s očkovaním, alebo sa nemôžu zo zdravotných dôvodov dať očkovať experimentálnou látkou, ktorá sa používa proti ochoreniu COVID-19. </w:t>
      </w:r>
    </w:p>
    <w:p w:rsidR="000D51E5" w:rsidRPr="002F55EA" w:rsidRDefault="000D51E5" w:rsidP="000D51E5">
      <w:pPr>
        <w:pStyle w:val="Odsekzoznamu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</w:pP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Všetky  u nás používané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očkovacie 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látky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proti COVID-19 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nespĺňajú definíciu vakcíny, pretože nevyvolávajú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bezinfekčnosť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 človeka, ktorý bol ňou zaočkovaný, to znamená, že plne očkovaný človek sa môže nakaziť, aj ochorenie prenášať a už 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pribudli poznatky,</w:t>
      </w:r>
      <w:r w:rsidR="000836E6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na základe, ktorých možno povedať, 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že 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neplatí ani pôvodné tvrdenie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o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zaručen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om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ľahš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om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priebeh</w:t>
      </w:r>
      <w:r w:rsidR="00E26468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u 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ochorenia. </w:t>
      </w:r>
    </w:p>
    <w:p w:rsidR="00E26468" w:rsidRPr="002F55EA" w:rsidRDefault="00E26468" w:rsidP="000D51E5">
      <w:pPr>
        <w:pStyle w:val="Odsekzoznamu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</w:pP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V praxi sú zaznamenávané početné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nežiadúce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účinky po podaní uvedených látok  aj také, ktoré majú za následok smrť.</w:t>
      </w:r>
    </w:p>
    <w:p w:rsidR="00E26468" w:rsidRPr="002F55EA" w:rsidRDefault="00E26468" w:rsidP="000D51E5">
      <w:pPr>
        <w:pStyle w:val="Odsekzoznamu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</w:pP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Tieto látky sú Európskou liekovou agentúrou</w:t>
      </w:r>
      <w:r w:rsidR="000836E6"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(EMA)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schválené len podmienečne. Podmienkou je väčší prínos ako riziko. Definitívne by boli schválené len vtedy, ak by sa uvedená podmienka potvrdila. Vyhodnotenie následkov podaní uvedených látok bude až v roku 2025 a neskôr.  Navyše v renomovanom odbornom časopise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British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Medical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Journal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   (BMJ) bol publikovaný článok o podvodoch pri štúdiách, na základe ktorých bola schválená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mRNA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očkovacia látka od spoločnosti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Pfizer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BioNTech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. Uvedený článok uverejnila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auditorka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štúdií, ktorá to mala na starosti a keď zistila skutkový stav, nahlásila a zdokumentovala svoje tvrdenia pre americkú FDA a keďže sa látka podávala naďalej, poskytla informácie verejnosti prostredníctvo BMJ.</w:t>
      </w:r>
    </w:p>
    <w:p w:rsidR="00EA7D38" w:rsidRPr="002F55EA" w:rsidRDefault="00EA7D38" w:rsidP="000D51E5">
      <w:pPr>
        <w:pStyle w:val="Odsekzoznamu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</w:pP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Za odporúčania v súvislosti so zdravotným stavom  pacienta berie zodpovednosť jeho ošetrujúci lekár. Každý kto spochybní odporúčanie ošetrujúceho lekára a rozhodne ináč – musí zobrať za svoje rozhodnutie aj </w:t>
      </w:r>
      <w:proofErr w:type="spellStart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forenznú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zodpovednosť v plnom rozsahu za všetky negatívne následky na jeho zdraví.</w:t>
      </w:r>
    </w:p>
    <w:p w:rsidR="000D51E5" w:rsidRPr="002F55EA" w:rsidRDefault="00EA7D38" w:rsidP="000D51E5">
      <w:pPr>
        <w:pStyle w:val="Odsekzoznamu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</w:pP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Na  podávanie experimentálnych liekov a očkovacích látok, t.j. na biologické experimenty  na ľuďoch sa vzťahuje Norimberský kódex, ktorého základné</w:t>
      </w:r>
      <w:r w:rsidR="007E56B9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zásady sú dostupné aj vo </w:t>
      </w:r>
      <w:proofErr w:type="spellStart"/>
      <w:r w:rsidR="007E56B9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Wikipe</w:t>
      </w:r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>dii</w:t>
      </w:r>
      <w:proofErr w:type="spellEnd"/>
      <w:r w:rsidRPr="002F55EA">
        <w:rPr>
          <w:rFonts w:ascii="Courier New" w:eastAsia="Times New Roman" w:hAnsi="Courier New" w:cs="Courier New"/>
          <w:bCs/>
          <w:color w:val="202122"/>
          <w:sz w:val="18"/>
          <w:szCs w:val="18"/>
          <w:lang w:eastAsia="sk-SK"/>
        </w:rPr>
        <w:t xml:space="preserve"> a uvádzam ich v nasledujúcom texte z tohto zdroja:  </w:t>
      </w:r>
    </w:p>
    <w:p w:rsidR="000D51E5" w:rsidRPr="000D51E5" w:rsidRDefault="000D51E5" w:rsidP="000D51E5">
      <w:pPr>
        <w:shd w:val="clear" w:color="auto" w:fill="FFFFFF"/>
        <w:spacing w:before="120" w:after="120" w:line="240" w:lineRule="auto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b/>
          <w:bCs/>
          <w:color w:val="202122"/>
          <w:sz w:val="18"/>
          <w:szCs w:val="18"/>
          <w:lang w:eastAsia="sk-SK"/>
        </w:rPr>
        <w:t>Norimberský kódex</w:t>
      </w:r>
      <w:r w:rsidR="000836E6" w:rsidRPr="002F55EA">
        <w:rPr>
          <w:rFonts w:ascii="Courier New" w:eastAsia="Times New Roman" w:hAnsi="Courier New" w:cs="Courier New"/>
          <w:b/>
          <w:bCs/>
          <w:color w:val="202122"/>
          <w:sz w:val="18"/>
          <w:szCs w:val="18"/>
          <w:lang w:eastAsia="sk-SK"/>
        </w:rPr>
        <w:t xml:space="preserve"> </w:t>
      </w: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 je súbor zásad </w:t>
      </w:r>
      <w:r w:rsidR="000836E6" w:rsidRPr="002F55EA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medicínskej etiky</w:t>
      </w: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 pre </w:t>
      </w:r>
      <w:r w:rsidR="000836E6" w:rsidRPr="002F55EA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experimenty na ľuďoch, kt</w:t>
      </w: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orý vznikol ako dôsledok súdu s vojnovými zločincami na </w:t>
      </w:r>
      <w:r w:rsidR="000836E6" w:rsidRPr="002F55EA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norimberskom súde</w:t>
      </w: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 po skončení</w:t>
      </w:r>
      <w:r w:rsidR="000836E6" w:rsidRPr="002F55EA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 xml:space="preserve"> druhej svetovej vojny.</w:t>
      </w:r>
    </w:p>
    <w:p w:rsidR="000836E6" w:rsidRPr="002F55EA" w:rsidRDefault="000D51E5" w:rsidP="000836E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Courier New" w:eastAsia="Times New Roman" w:hAnsi="Courier New" w:cs="Courier New"/>
          <w:color w:val="000000"/>
          <w:sz w:val="18"/>
          <w:szCs w:val="18"/>
          <w:lang w:eastAsia="sk-SK"/>
        </w:rPr>
      </w:pPr>
      <w:r w:rsidRPr="002F55EA">
        <w:rPr>
          <w:rFonts w:ascii="Courier New" w:eastAsia="Times New Roman" w:hAnsi="Courier New" w:cs="Courier New"/>
          <w:color w:val="000000"/>
          <w:sz w:val="18"/>
          <w:szCs w:val="18"/>
          <w:lang w:eastAsia="sk-SK"/>
        </w:rPr>
        <w:t>Desať bodov norimberského kódexu</w:t>
      </w:r>
      <w:r w:rsidR="000836E6" w:rsidRPr="002F55EA">
        <w:rPr>
          <w:rFonts w:ascii="Courier New" w:eastAsia="Times New Roman" w:hAnsi="Courier New" w:cs="Courier New"/>
          <w:color w:val="000000"/>
          <w:sz w:val="18"/>
          <w:szCs w:val="18"/>
          <w:lang w:eastAsia="sk-SK"/>
        </w:rPr>
        <w:t>:</w:t>
      </w:r>
    </w:p>
    <w:p w:rsidR="000D51E5" w:rsidRPr="001925BB" w:rsidRDefault="000D51E5" w:rsidP="001925BB">
      <w:pPr>
        <w:pStyle w:val="Odsekzoznamu"/>
        <w:numPr>
          <w:ilvl w:val="0"/>
          <w:numId w:val="1"/>
        </w:num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1925BB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Dobrovoľný súhlas ľudskej osoby je absolútne nevyhnutný. To znamená, že dotknutá osoba musí byť právne spôsobilá dať súhlas. Musí byť v postavení, v ktorom má moc vykonávať slobodné rozhodnutia, a to bez ovplyvňovania akýmkoľvek násilím, podvodom, klamstvom/zavádzaním, hrozbami, preháňaním, či inou skrytou/</w:t>
      </w:r>
      <w:proofErr w:type="spellStart"/>
      <w:r w:rsidRPr="001925BB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záludnou</w:t>
      </w:r>
      <w:proofErr w:type="spellEnd"/>
      <w:r w:rsidRPr="001925BB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 xml:space="preserve"> podobou obmedzovania alebo donucovania. Musí tiež mať dostatočné poznanie a pochopenie podstaty predmetnej záležitosti, čo jej umožní učiniť informované a zasvätené rozhodnutie. To si vyžaduje, aby bol účastník pokusu pred prijatím súhlasného rozhodnutia oboznámený s povahou, trvaním a účelom pokusu, so spôsobmi a prostriedkami, ktoré majú byť v pokuse použité, so všetkými nepríjemnosťami a nebezpečenstvami, ktoré možno odôvodnene očakávať, ako aj s účinkami na svoje zdravie alebo osobnosť, ktoré možno nastanú kvôli jeho účasti na tomto pokuse.</w:t>
      </w:r>
      <w:r w:rsidRPr="001925BB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br/>
        <w:t>Povinnosť a zodpovednosť presvedčiť sa o tejto akosti súhlasu s účasťou na pokuse leží na pleciach každého jednotlivca, ktorý daný pokus navrhuje, riadi alebo sa na ňom podieľa. Je to osobná povinnosť a zodpovednosť, ktorú nemožno beztrestne preniesť na iného.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Pokus musí byť navrhnutý tak, aby priniesol pre dobro spoločnosti plodné výsledky, ktoré nemožno získať inými spôsobmi či prostriedkami a ktoré nie sú vo svojej podstate náhodné či nepotrebné.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Pokus musí byť založený na výsledkoch pokusov na zvieratách i na poznaní prirodzeného priebehu danej choroby či iného skúmaného problému a musí byť navrhnutý tak, aby očakávané výsledky ospravedlňovali vykonanie tohto pokusu.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Pokus musí byť vykonaný tak, aby sa predišlo všetkému zbytočnému telesnému či duševnému utrpeniu a poškodeniu zdravia.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lastRenderedPageBreak/>
        <w:t>Nesmie byť vykonaný taký pokus, u ktorého je vopred známy dôvod domnievať sa, že môže spôsobiť smrť alebo zdravotné postihnutie, snáď s výnimkou prípadov, v ktorých účastníkmi pokusu sú samotní lekári, ktorí pokus vykonávajú.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Stupeň rizika, podstupovaného účastníkmi pokusu, nesmie nikdy prekročiť stupeň rizika, vyplývajúci z humanitárnej dôležitosti problému, ktorý má tento pokus vyriešiť.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Musí byť vykonaná primeraná príprava a poskytnuté náležité vybavenie na ochranu účastníkov pokusu aj pred málo pravdepodobnými poškodeniami zdravia, zdravotnými postihnutiami či úmrtím.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Pokus smú vykonávať len vedecky vzdelané osoby. Počas všetkých stupňov pokusu sa od ľudí, vykonávajúcich pokus alebo zapojených do pokusu, musí vyžadovať najvyšší stupeň zručnosti, skúsenosti a starostlivosti.</w:t>
      </w:r>
    </w:p>
    <w:p w:rsidR="000D51E5" w:rsidRPr="000D51E5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Počas pokusu musí mať účastník pokusu slobodu ukončiť svoju účasť na pokuse, ak sa dostal do takého telesného alebo duševného stavu, v ktorom sa mu pokračovanie v účasti na pokuse javí ako nemožné.</w:t>
      </w:r>
    </w:p>
    <w:p w:rsidR="000D51E5" w:rsidRPr="002F55EA" w:rsidRDefault="000D51E5" w:rsidP="000D51E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</w:pPr>
      <w:r w:rsidRPr="000D51E5">
        <w:rPr>
          <w:rFonts w:ascii="Courier New" w:eastAsia="Times New Roman" w:hAnsi="Courier New" w:cs="Courier New"/>
          <w:color w:val="202122"/>
          <w:sz w:val="18"/>
          <w:szCs w:val="18"/>
          <w:lang w:eastAsia="sk-SK"/>
        </w:rPr>
        <w:t>Príslušný vedec musí byť pripravený prerušiť prebiehajúci pokus v ktoromkoľvek stupni, ak má dobrý dôvod (použijúc svoju dobrú vieru, vynikajúce zručnosti/skúsenosti a starostlivé zváženie, ktoré sa od neho požadujú) domnievať sa, že pokračovanie v pokuse pravdepodobne spôsobí poškodenie zdravia, zdravotné postihnutie alebo smrť účastníkovi pokusu.</w:t>
      </w:r>
    </w:p>
    <w:p w:rsidR="004F351B" w:rsidRPr="002F55EA" w:rsidRDefault="007E56B9">
      <w:pPr>
        <w:rPr>
          <w:rFonts w:ascii="Courier New" w:hAnsi="Courier New" w:cs="Courier New"/>
          <w:sz w:val="18"/>
          <w:szCs w:val="18"/>
        </w:rPr>
      </w:pPr>
    </w:p>
    <w:p w:rsidR="00EA7D38" w:rsidRPr="002F55EA" w:rsidRDefault="002F55E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Slovenská republika je signat</w:t>
      </w:r>
      <w:r w:rsidR="00FD4DB4" w:rsidRPr="002F55EA">
        <w:rPr>
          <w:rFonts w:ascii="Courier New" w:hAnsi="Courier New" w:cs="Courier New"/>
          <w:sz w:val="18"/>
          <w:szCs w:val="18"/>
        </w:rPr>
        <w:t xml:space="preserve">árom Európskeho dohovoru o ľudských právach, medzi ktoré patrí aj právo na súkromie. Násilné očkovanie experimentálnou látkou je porušenie  tohto </w:t>
      </w:r>
      <w:r w:rsidR="0093526A">
        <w:rPr>
          <w:rFonts w:ascii="Courier New" w:hAnsi="Courier New" w:cs="Courier New"/>
          <w:sz w:val="18"/>
          <w:szCs w:val="18"/>
        </w:rPr>
        <w:t xml:space="preserve"> </w:t>
      </w:r>
      <w:r w:rsidR="00FD4DB4" w:rsidRPr="002F55EA">
        <w:rPr>
          <w:rFonts w:ascii="Courier New" w:hAnsi="Courier New" w:cs="Courier New"/>
          <w:sz w:val="18"/>
          <w:szCs w:val="18"/>
        </w:rPr>
        <w:t xml:space="preserve">práva. </w:t>
      </w:r>
    </w:p>
    <w:p w:rsidR="00FD4DB4" w:rsidRPr="002F55EA" w:rsidRDefault="00FD4DB4">
      <w:pPr>
        <w:rPr>
          <w:rFonts w:ascii="Courier New" w:hAnsi="Courier New" w:cs="Courier New"/>
          <w:sz w:val="18"/>
          <w:szCs w:val="18"/>
        </w:rPr>
      </w:pPr>
      <w:r w:rsidRPr="002F55EA">
        <w:rPr>
          <w:rFonts w:ascii="Courier New" w:hAnsi="Courier New" w:cs="Courier New"/>
          <w:sz w:val="18"/>
          <w:szCs w:val="18"/>
        </w:rPr>
        <w:t>Do Vašej pozornosti dávam aj Rezolúciu Rady Európy z 27.1.2021, ktorá v bode 731 ukladá členským štátom zabezpečiť , že očkovanie nie je povinné  a na nikoho nemožno vyvíjať politický , sociálny ani iný nát</w:t>
      </w:r>
      <w:r w:rsidR="007E56B9">
        <w:rPr>
          <w:rFonts w:ascii="Courier New" w:hAnsi="Courier New" w:cs="Courier New"/>
          <w:sz w:val="18"/>
          <w:szCs w:val="18"/>
        </w:rPr>
        <w:t>lak, aby sa dal zaočkovať . V nad</w:t>
      </w:r>
      <w:r w:rsidRPr="002F55EA">
        <w:rPr>
          <w:rFonts w:ascii="Courier New" w:hAnsi="Courier New" w:cs="Courier New"/>
          <w:sz w:val="18"/>
          <w:szCs w:val="18"/>
        </w:rPr>
        <w:t>väznosti v bode 732 ukladá záväzok zabezpečiť, aby nikto nebol diskriminovaný preto, že nebol zaočkovaný k</w:t>
      </w:r>
      <w:r w:rsidR="007E56B9">
        <w:rPr>
          <w:rFonts w:ascii="Courier New" w:hAnsi="Courier New" w:cs="Courier New"/>
          <w:sz w:val="18"/>
          <w:szCs w:val="18"/>
        </w:rPr>
        <w:t>vô</w:t>
      </w:r>
      <w:r w:rsidRPr="002F55EA">
        <w:rPr>
          <w:rFonts w:ascii="Courier New" w:hAnsi="Courier New" w:cs="Courier New"/>
          <w:sz w:val="18"/>
          <w:szCs w:val="18"/>
        </w:rPr>
        <w:t xml:space="preserve">li zdravotným rizikám alebo preto, lebo sa nechcel dať zaočkovať </w:t>
      </w:r>
      <w:r w:rsidR="00462644" w:rsidRPr="002F55EA">
        <w:rPr>
          <w:rFonts w:ascii="Courier New" w:hAnsi="Courier New" w:cs="Courier New"/>
          <w:sz w:val="18"/>
          <w:szCs w:val="18"/>
        </w:rPr>
        <w:t xml:space="preserve">. V rozhodnutí Európskeho súdu pre ľudské práva , ktoré bolo vynesené v súvislosti s povinným  očkovaním štandardnými vakcínami je podmienka, aby očkovanie bolo nevyhnutné , lebo nie sú k dispozícii účinné liečebné postupy. V prípade  </w:t>
      </w:r>
      <w:proofErr w:type="spellStart"/>
      <w:r w:rsidR="00462644" w:rsidRPr="002F55EA">
        <w:rPr>
          <w:rFonts w:ascii="Courier New" w:hAnsi="Courier New" w:cs="Courier New"/>
          <w:sz w:val="18"/>
          <w:szCs w:val="18"/>
        </w:rPr>
        <w:t>COVIDu</w:t>
      </w:r>
      <w:proofErr w:type="spellEnd"/>
      <w:r w:rsidR="00462644" w:rsidRPr="002F55EA">
        <w:rPr>
          <w:rFonts w:ascii="Courier New" w:hAnsi="Courier New" w:cs="Courier New"/>
          <w:sz w:val="18"/>
          <w:szCs w:val="18"/>
        </w:rPr>
        <w:t xml:space="preserve"> 19 takéto postupy už máme, čo okrem toho, že sa jedná o experimentálnu látku, taktiež spochybňuje nevyhnutnosť očkovania. </w:t>
      </w:r>
      <w:r w:rsidRPr="002F55EA">
        <w:rPr>
          <w:rFonts w:ascii="Courier New" w:hAnsi="Courier New" w:cs="Courier New"/>
          <w:sz w:val="18"/>
          <w:szCs w:val="18"/>
        </w:rPr>
        <w:t xml:space="preserve"> </w:t>
      </w:r>
    </w:p>
    <w:p w:rsidR="00462644" w:rsidRPr="002F55EA" w:rsidRDefault="00462644">
      <w:pPr>
        <w:rPr>
          <w:rFonts w:ascii="Courier New" w:hAnsi="Courier New" w:cs="Courier New"/>
          <w:sz w:val="18"/>
          <w:szCs w:val="18"/>
        </w:rPr>
      </w:pPr>
      <w:r w:rsidRPr="002F55EA">
        <w:rPr>
          <w:rFonts w:ascii="Courier New" w:hAnsi="Courier New" w:cs="Courier New"/>
          <w:sz w:val="18"/>
          <w:szCs w:val="18"/>
        </w:rPr>
        <w:t xml:space="preserve">Záverom si dovoľujem </w:t>
      </w:r>
      <w:r w:rsidR="002F55EA">
        <w:rPr>
          <w:rFonts w:ascii="Courier New" w:hAnsi="Courier New" w:cs="Courier New"/>
          <w:sz w:val="18"/>
          <w:szCs w:val="18"/>
        </w:rPr>
        <w:t>u</w:t>
      </w:r>
      <w:r w:rsidRPr="002F55EA">
        <w:rPr>
          <w:rFonts w:ascii="Courier New" w:hAnsi="Courier New" w:cs="Courier New"/>
          <w:sz w:val="18"/>
          <w:szCs w:val="18"/>
        </w:rPr>
        <w:t>pozorn</w:t>
      </w:r>
      <w:r w:rsidR="002F55EA">
        <w:rPr>
          <w:rFonts w:ascii="Courier New" w:hAnsi="Courier New" w:cs="Courier New"/>
          <w:sz w:val="18"/>
          <w:szCs w:val="18"/>
        </w:rPr>
        <w:t>iť, že každý, kto sa spolupodieľa na porušovaní zásad No</w:t>
      </w:r>
      <w:r w:rsidRPr="002F55EA">
        <w:rPr>
          <w:rFonts w:ascii="Courier New" w:hAnsi="Courier New" w:cs="Courier New"/>
          <w:sz w:val="18"/>
          <w:szCs w:val="18"/>
        </w:rPr>
        <w:t xml:space="preserve">rimberského kódexu sa stáva spolupáchateľom zločinov proti ľudskosti a podanie v súvislosti s vakcináciou proti </w:t>
      </w:r>
      <w:proofErr w:type="spellStart"/>
      <w:r w:rsidRPr="002F55EA">
        <w:rPr>
          <w:rFonts w:ascii="Courier New" w:hAnsi="Courier New" w:cs="Courier New"/>
          <w:sz w:val="18"/>
          <w:szCs w:val="18"/>
        </w:rPr>
        <w:t>COVIDu</w:t>
      </w:r>
      <w:proofErr w:type="spellEnd"/>
      <w:r w:rsidRPr="002F55EA">
        <w:rPr>
          <w:rFonts w:ascii="Courier New" w:hAnsi="Courier New" w:cs="Courier New"/>
          <w:sz w:val="18"/>
          <w:szCs w:val="18"/>
        </w:rPr>
        <w:t xml:space="preserve">  toho času skúma Trestný súd v Haagu.</w:t>
      </w:r>
    </w:p>
    <w:p w:rsidR="002F55EA" w:rsidRDefault="00462644">
      <w:pPr>
        <w:rPr>
          <w:rFonts w:ascii="Courier New" w:hAnsi="Courier New" w:cs="Courier New"/>
          <w:sz w:val="18"/>
          <w:szCs w:val="18"/>
        </w:rPr>
      </w:pPr>
      <w:r w:rsidRPr="002F55EA">
        <w:rPr>
          <w:rFonts w:ascii="Courier New" w:hAnsi="Courier New" w:cs="Courier New"/>
          <w:sz w:val="18"/>
          <w:szCs w:val="18"/>
        </w:rPr>
        <w:t xml:space="preserve">Ďakujem za pochopenie. S pozdravom  </w:t>
      </w:r>
    </w:p>
    <w:p w:rsidR="002F55EA" w:rsidRPr="002F55EA" w:rsidRDefault="002F55EA">
      <w:pPr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2F55EA">
        <w:rPr>
          <w:rFonts w:ascii="Courier New" w:hAnsi="Courier New" w:cs="Courier New"/>
          <w:i/>
          <w:sz w:val="20"/>
          <w:szCs w:val="20"/>
        </w:rPr>
        <w:t xml:space="preserve">MUDr. Alena </w:t>
      </w:r>
      <w:proofErr w:type="spellStart"/>
      <w:r w:rsidRPr="002F55EA">
        <w:rPr>
          <w:rFonts w:ascii="Courier New" w:hAnsi="Courier New" w:cs="Courier New"/>
          <w:i/>
          <w:sz w:val="20"/>
          <w:szCs w:val="20"/>
        </w:rPr>
        <w:t>Jancová</w:t>
      </w:r>
      <w:proofErr w:type="spellEnd"/>
      <w:r w:rsidR="00AE78B1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="00AE78B1">
        <w:rPr>
          <w:rFonts w:ascii="Courier New" w:hAnsi="Courier New" w:cs="Courier New"/>
          <w:i/>
          <w:sz w:val="20"/>
          <w:szCs w:val="20"/>
        </w:rPr>
        <w:t>v.r</w:t>
      </w:r>
      <w:proofErr w:type="spellEnd"/>
      <w:r w:rsidR="00AE78B1">
        <w:rPr>
          <w:rFonts w:ascii="Courier New" w:hAnsi="Courier New" w:cs="Courier New"/>
          <w:i/>
          <w:sz w:val="20"/>
          <w:szCs w:val="20"/>
        </w:rPr>
        <w:t>.</w:t>
      </w:r>
      <w:r w:rsidRPr="002F55EA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2F55EA" w:rsidRDefault="002F55E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hlavná koordinátorka SLÚŠ pre legislatívu a kontakt so zdravotnými poisťovňami</w:t>
      </w:r>
    </w:p>
    <w:p w:rsidR="002F55EA" w:rsidRDefault="002F55EA">
      <w:pPr>
        <w:rPr>
          <w:rFonts w:ascii="Courier New" w:hAnsi="Courier New" w:cs="Courier New"/>
          <w:sz w:val="18"/>
          <w:szCs w:val="18"/>
        </w:rPr>
      </w:pPr>
    </w:p>
    <w:p w:rsidR="002F55EA" w:rsidRDefault="002F55E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 Košiciach, 29.11.2021                                   </w:t>
      </w:r>
    </w:p>
    <w:p w:rsidR="002F55EA" w:rsidRDefault="002F55EA">
      <w:pPr>
        <w:rPr>
          <w:rFonts w:ascii="Courier New" w:hAnsi="Courier New" w:cs="Courier New"/>
          <w:sz w:val="18"/>
          <w:szCs w:val="18"/>
        </w:rPr>
      </w:pPr>
    </w:p>
    <w:p w:rsidR="00462644" w:rsidRPr="002F55EA" w:rsidRDefault="002F55E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Vybavuje: </w:t>
      </w:r>
      <w:r w:rsidRPr="00AE78B1">
        <w:rPr>
          <w:rFonts w:ascii="Courier New" w:hAnsi="Courier New" w:cs="Courier New"/>
          <w:i/>
          <w:sz w:val="18"/>
          <w:szCs w:val="18"/>
        </w:rPr>
        <w:t xml:space="preserve">Mgr. Tomáš </w:t>
      </w:r>
      <w:proofErr w:type="spellStart"/>
      <w:r w:rsidRPr="00AE78B1">
        <w:rPr>
          <w:rFonts w:ascii="Courier New" w:hAnsi="Courier New" w:cs="Courier New"/>
          <w:i/>
          <w:sz w:val="18"/>
          <w:szCs w:val="18"/>
        </w:rPr>
        <w:t>Janco</w:t>
      </w:r>
      <w:proofErr w:type="spellEnd"/>
      <w:r>
        <w:rPr>
          <w:rFonts w:ascii="Courier New" w:hAnsi="Courier New" w:cs="Courier New"/>
          <w:sz w:val="18"/>
          <w:szCs w:val="18"/>
        </w:rPr>
        <w:t>, právnik a generálny sekretár Slovenskej lekárskej únie špecialistov</w:t>
      </w:r>
      <w:r w:rsidR="00462644" w:rsidRPr="002F55E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(SLÚŠ)</w:t>
      </w:r>
      <w:r w:rsidR="00462644" w:rsidRPr="002F55EA">
        <w:rPr>
          <w:rFonts w:ascii="Courier New" w:hAnsi="Courier New" w:cs="Courier New"/>
          <w:sz w:val="18"/>
          <w:szCs w:val="18"/>
        </w:rPr>
        <w:t xml:space="preserve">  </w:t>
      </w:r>
    </w:p>
    <w:p w:rsidR="00462644" w:rsidRDefault="00462644"/>
    <w:sectPr w:rsidR="00462644" w:rsidSect="00C6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9EA"/>
    <w:multiLevelType w:val="multilevel"/>
    <w:tmpl w:val="B1AE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D0881"/>
    <w:multiLevelType w:val="hybridMultilevel"/>
    <w:tmpl w:val="5EBE1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86102"/>
    <w:multiLevelType w:val="multilevel"/>
    <w:tmpl w:val="5E1E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51E5"/>
    <w:rsid w:val="00002099"/>
    <w:rsid w:val="000836E6"/>
    <w:rsid w:val="000D51E5"/>
    <w:rsid w:val="000E6FBA"/>
    <w:rsid w:val="00144FF7"/>
    <w:rsid w:val="001925BB"/>
    <w:rsid w:val="002F55EA"/>
    <w:rsid w:val="00462644"/>
    <w:rsid w:val="007E56B9"/>
    <w:rsid w:val="0093526A"/>
    <w:rsid w:val="00AE78B1"/>
    <w:rsid w:val="00C601A6"/>
    <w:rsid w:val="00C63421"/>
    <w:rsid w:val="00CE18DA"/>
    <w:rsid w:val="00D24DC8"/>
    <w:rsid w:val="00E26468"/>
    <w:rsid w:val="00EA7D38"/>
    <w:rsid w:val="00FD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421"/>
  </w:style>
  <w:style w:type="paragraph" w:styleId="Nadpis2">
    <w:name w:val="heading 2"/>
    <w:basedOn w:val="Normlny"/>
    <w:link w:val="Nadpis2Char"/>
    <w:uiPriority w:val="9"/>
    <w:qFormat/>
    <w:rsid w:val="000D5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D51E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D51E5"/>
    <w:rPr>
      <w:color w:val="0000FF"/>
      <w:u w:val="single"/>
    </w:rPr>
  </w:style>
  <w:style w:type="character" w:customStyle="1" w:styleId="mw-headline">
    <w:name w:val="mw-headline"/>
    <w:basedOn w:val="Predvolenpsmoodseku"/>
    <w:rsid w:val="000D51E5"/>
  </w:style>
  <w:style w:type="character" w:customStyle="1" w:styleId="mw-editsection">
    <w:name w:val="mw-editsection"/>
    <w:basedOn w:val="Predvolenpsmoodseku"/>
    <w:rsid w:val="000D51E5"/>
  </w:style>
  <w:style w:type="character" w:customStyle="1" w:styleId="mw-editsection-bracket">
    <w:name w:val="mw-editsection-bracket"/>
    <w:basedOn w:val="Predvolenpsmoodseku"/>
    <w:rsid w:val="000D51E5"/>
  </w:style>
  <w:style w:type="character" w:customStyle="1" w:styleId="mw-editsection-divider">
    <w:name w:val="mw-editsection-divider"/>
    <w:basedOn w:val="Predvolenpsmoodseku"/>
    <w:rsid w:val="000D51E5"/>
  </w:style>
  <w:style w:type="paragraph" w:styleId="Odsekzoznamu">
    <w:name w:val="List Paragraph"/>
    <w:basedOn w:val="Normlny"/>
    <w:uiPriority w:val="34"/>
    <w:qFormat/>
    <w:rsid w:val="000D5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2021-11-29T16:01:00Z</cp:lastPrinted>
  <dcterms:created xsi:type="dcterms:W3CDTF">2021-11-29T07:38:00Z</dcterms:created>
  <dcterms:modified xsi:type="dcterms:W3CDTF">2021-12-15T14:42:00Z</dcterms:modified>
</cp:coreProperties>
</file>